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6763D">
      <w:pPr>
        <w:keepNext w:val="0"/>
        <w:keepLines w:val="0"/>
        <w:widowControl/>
        <w:suppressLineNumbers w:val="0"/>
        <w:spacing w:before="0" w:beforeAutospacing="0" w:after="2" w:afterAutospacing="0"/>
        <w:ind w:left="0" w:right="0" w:firstLine="0"/>
        <w:jc w:val="center"/>
        <w:rPr>
          <w:rFonts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48"/>
          <w:szCs w:val="48"/>
          <w:lang w:val="en-US" w:eastAsia="zh-CN" w:bidi="ar"/>
        </w:rPr>
        <w:t>湘潭开放大学2025年部门预算公开说明</w:t>
      </w:r>
      <w:r>
        <w:rPr>
          <w:rFonts w:hint="eastAsia" w:ascii="等线" w:hAnsi="等线" w:eastAsia="等线" w:cs="等线"/>
          <w:i w:val="0"/>
          <w:iCs w:val="0"/>
          <w:caps w:val="0"/>
          <w:color w:val="000000"/>
          <w:spacing w:val="0"/>
          <w:kern w:val="0"/>
          <w:sz w:val="21"/>
          <w:szCs w:val="21"/>
          <w:lang w:val="en-US" w:eastAsia="zh-CN" w:bidi="ar"/>
        </w:rPr>
        <w:t> </w:t>
      </w:r>
    </w:p>
    <w:p w14:paraId="2F589082">
      <w:pPr>
        <w:keepNext w:val="0"/>
        <w:keepLines w:val="0"/>
        <w:widowControl/>
        <w:suppressLineNumbers w:val="0"/>
        <w:spacing w:before="0" w:beforeAutospacing="0" w:after="2" w:afterAutospacing="0"/>
        <w:ind w:left="0" w:right="0" w:firstLine="0"/>
        <w:jc w:val="center"/>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 </w:t>
      </w:r>
      <w:r>
        <w:rPr>
          <w:rFonts w:hint="eastAsia" w:ascii="等线" w:hAnsi="等线" w:eastAsia="等线" w:cs="等线"/>
          <w:i w:val="0"/>
          <w:iCs w:val="0"/>
          <w:caps w:val="0"/>
          <w:color w:val="000000"/>
          <w:spacing w:val="0"/>
          <w:kern w:val="0"/>
          <w:sz w:val="21"/>
          <w:szCs w:val="21"/>
          <w:lang w:val="en-US" w:eastAsia="zh-CN" w:bidi="ar"/>
        </w:rPr>
        <w:t> </w:t>
      </w:r>
    </w:p>
    <w:p w14:paraId="21A8DDED">
      <w:pPr>
        <w:keepNext w:val="0"/>
        <w:keepLines w:val="0"/>
        <w:widowControl/>
        <w:suppressLineNumbers w:val="0"/>
        <w:spacing w:before="0" w:beforeAutospacing="0" w:after="2" w:afterAutospacing="0"/>
        <w:ind w:left="0" w:right="0" w:firstLine="0"/>
        <w:jc w:val="center"/>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6"/>
          <w:szCs w:val="36"/>
          <w:lang w:val="en-US" w:eastAsia="zh-CN" w:bidi="ar"/>
        </w:rPr>
        <w:t>目 录</w:t>
      </w:r>
      <w:r>
        <w:rPr>
          <w:rFonts w:hint="eastAsia" w:ascii="等线" w:hAnsi="等线" w:eastAsia="等线" w:cs="等线"/>
          <w:i w:val="0"/>
          <w:iCs w:val="0"/>
          <w:caps w:val="0"/>
          <w:color w:val="000000"/>
          <w:spacing w:val="0"/>
          <w:kern w:val="0"/>
          <w:sz w:val="21"/>
          <w:szCs w:val="21"/>
          <w:lang w:val="en-US" w:eastAsia="zh-CN" w:bidi="ar"/>
        </w:rPr>
        <w:t> </w:t>
      </w:r>
    </w:p>
    <w:p w14:paraId="6A4740F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第一部分 2025年部门预算说明</w:t>
      </w:r>
      <w:r>
        <w:rPr>
          <w:rFonts w:hint="eastAsia" w:ascii="等线" w:hAnsi="等线" w:eastAsia="等线" w:cs="等线"/>
          <w:i w:val="0"/>
          <w:iCs w:val="0"/>
          <w:caps w:val="0"/>
          <w:color w:val="000000"/>
          <w:spacing w:val="0"/>
          <w:kern w:val="0"/>
          <w:sz w:val="21"/>
          <w:szCs w:val="21"/>
          <w:lang w:val="en-US" w:eastAsia="zh-CN" w:bidi="ar"/>
        </w:rPr>
        <w:t> </w:t>
      </w:r>
    </w:p>
    <w:p w14:paraId="2A69BC3B">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一、部门基本概况</w:t>
      </w:r>
      <w:r>
        <w:rPr>
          <w:rFonts w:hint="eastAsia" w:ascii="等线" w:hAnsi="等线" w:eastAsia="等线" w:cs="等线"/>
          <w:i w:val="0"/>
          <w:iCs w:val="0"/>
          <w:caps w:val="0"/>
          <w:color w:val="000000"/>
          <w:spacing w:val="0"/>
          <w:kern w:val="0"/>
          <w:sz w:val="21"/>
          <w:szCs w:val="21"/>
          <w:lang w:val="en-US" w:eastAsia="zh-CN" w:bidi="ar"/>
        </w:rPr>
        <w:t> </w:t>
      </w:r>
    </w:p>
    <w:p w14:paraId="2F7E0FDE">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（一）职能职责</w:t>
      </w:r>
      <w:r>
        <w:rPr>
          <w:rFonts w:hint="eastAsia" w:ascii="等线" w:hAnsi="等线" w:eastAsia="等线" w:cs="等线"/>
          <w:i w:val="0"/>
          <w:iCs w:val="0"/>
          <w:caps w:val="0"/>
          <w:color w:val="000000"/>
          <w:spacing w:val="0"/>
          <w:kern w:val="0"/>
          <w:sz w:val="21"/>
          <w:szCs w:val="21"/>
          <w:lang w:val="en-US" w:eastAsia="zh-CN" w:bidi="ar"/>
        </w:rPr>
        <w:t> </w:t>
      </w:r>
    </w:p>
    <w:p w14:paraId="73E180F6">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（二）机构设置</w:t>
      </w:r>
      <w:r>
        <w:rPr>
          <w:rFonts w:hint="eastAsia" w:ascii="等线" w:hAnsi="等线" w:eastAsia="等线" w:cs="等线"/>
          <w:i w:val="0"/>
          <w:iCs w:val="0"/>
          <w:caps w:val="0"/>
          <w:color w:val="000000"/>
          <w:spacing w:val="0"/>
          <w:kern w:val="0"/>
          <w:sz w:val="21"/>
          <w:szCs w:val="21"/>
          <w:lang w:val="en-US" w:eastAsia="zh-CN" w:bidi="ar"/>
        </w:rPr>
        <w:t> </w:t>
      </w:r>
    </w:p>
    <w:p w14:paraId="55CB6CE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二、部门预算单位构成</w:t>
      </w:r>
      <w:r>
        <w:rPr>
          <w:rFonts w:hint="eastAsia" w:ascii="等线" w:hAnsi="等线" w:eastAsia="等线" w:cs="等线"/>
          <w:i w:val="0"/>
          <w:iCs w:val="0"/>
          <w:caps w:val="0"/>
          <w:color w:val="000000"/>
          <w:spacing w:val="0"/>
          <w:kern w:val="0"/>
          <w:sz w:val="21"/>
          <w:szCs w:val="21"/>
          <w:lang w:val="en-US" w:eastAsia="zh-CN" w:bidi="ar"/>
        </w:rPr>
        <w:t> </w:t>
      </w:r>
    </w:p>
    <w:p w14:paraId="63250CAA">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三、部门收支总体情况</w:t>
      </w:r>
      <w:r>
        <w:rPr>
          <w:rFonts w:hint="eastAsia" w:ascii="等线" w:hAnsi="等线" w:eastAsia="等线" w:cs="等线"/>
          <w:i w:val="0"/>
          <w:iCs w:val="0"/>
          <w:caps w:val="0"/>
          <w:color w:val="000000"/>
          <w:spacing w:val="0"/>
          <w:kern w:val="0"/>
          <w:sz w:val="21"/>
          <w:szCs w:val="21"/>
          <w:lang w:val="en-US" w:eastAsia="zh-CN" w:bidi="ar"/>
        </w:rPr>
        <w:t> </w:t>
      </w:r>
    </w:p>
    <w:p w14:paraId="225661E7">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（一）收入预算</w:t>
      </w:r>
      <w:r>
        <w:rPr>
          <w:rFonts w:hint="eastAsia" w:ascii="等线" w:hAnsi="等线" w:eastAsia="等线" w:cs="等线"/>
          <w:i w:val="0"/>
          <w:iCs w:val="0"/>
          <w:caps w:val="0"/>
          <w:color w:val="000000"/>
          <w:spacing w:val="0"/>
          <w:kern w:val="0"/>
          <w:sz w:val="21"/>
          <w:szCs w:val="21"/>
          <w:lang w:val="en-US" w:eastAsia="zh-CN" w:bidi="ar"/>
        </w:rPr>
        <w:t> </w:t>
      </w:r>
    </w:p>
    <w:p w14:paraId="177F0ECB">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（二）支出预算</w:t>
      </w:r>
      <w:r>
        <w:rPr>
          <w:rFonts w:hint="eastAsia" w:ascii="等线" w:hAnsi="等线" w:eastAsia="等线" w:cs="等线"/>
          <w:i w:val="0"/>
          <w:iCs w:val="0"/>
          <w:caps w:val="0"/>
          <w:color w:val="000000"/>
          <w:spacing w:val="0"/>
          <w:kern w:val="0"/>
          <w:sz w:val="21"/>
          <w:szCs w:val="21"/>
          <w:lang w:val="en-US" w:eastAsia="zh-CN" w:bidi="ar"/>
        </w:rPr>
        <w:t> </w:t>
      </w:r>
    </w:p>
    <w:p w14:paraId="4EEB3A88">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四、一般公共预算拨款支出</w:t>
      </w:r>
      <w:r>
        <w:rPr>
          <w:rFonts w:hint="eastAsia" w:ascii="等线" w:hAnsi="等线" w:eastAsia="等线" w:cs="等线"/>
          <w:i w:val="0"/>
          <w:iCs w:val="0"/>
          <w:caps w:val="0"/>
          <w:color w:val="000000"/>
          <w:spacing w:val="0"/>
          <w:kern w:val="0"/>
          <w:sz w:val="21"/>
          <w:szCs w:val="21"/>
          <w:lang w:val="en-US" w:eastAsia="zh-CN" w:bidi="ar"/>
        </w:rPr>
        <w:t> </w:t>
      </w:r>
    </w:p>
    <w:p w14:paraId="0F004E53">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（一）基本支出</w:t>
      </w:r>
      <w:r>
        <w:rPr>
          <w:rFonts w:hint="eastAsia" w:ascii="等线" w:hAnsi="等线" w:eastAsia="等线" w:cs="等线"/>
          <w:i w:val="0"/>
          <w:iCs w:val="0"/>
          <w:caps w:val="0"/>
          <w:color w:val="000000"/>
          <w:spacing w:val="0"/>
          <w:kern w:val="0"/>
          <w:sz w:val="21"/>
          <w:szCs w:val="21"/>
          <w:lang w:val="en-US" w:eastAsia="zh-CN" w:bidi="ar"/>
        </w:rPr>
        <w:t> </w:t>
      </w:r>
    </w:p>
    <w:p w14:paraId="328D8F5A">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（二）项目支出</w:t>
      </w:r>
      <w:r>
        <w:rPr>
          <w:rFonts w:hint="eastAsia" w:ascii="等线" w:hAnsi="等线" w:eastAsia="等线" w:cs="等线"/>
          <w:i w:val="0"/>
          <w:iCs w:val="0"/>
          <w:caps w:val="0"/>
          <w:color w:val="000000"/>
          <w:spacing w:val="0"/>
          <w:kern w:val="0"/>
          <w:sz w:val="21"/>
          <w:szCs w:val="21"/>
          <w:lang w:val="en-US" w:eastAsia="zh-CN" w:bidi="ar"/>
        </w:rPr>
        <w:t> </w:t>
      </w:r>
    </w:p>
    <w:p w14:paraId="33ACFEB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五、政府性基金预算支出</w:t>
      </w:r>
      <w:r>
        <w:rPr>
          <w:rFonts w:hint="eastAsia" w:ascii="等线" w:hAnsi="等线" w:eastAsia="等线" w:cs="等线"/>
          <w:i w:val="0"/>
          <w:iCs w:val="0"/>
          <w:caps w:val="0"/>
          <w:color w:val="000000"/>
          <w:spacing w:val="0"/>
          <w:kern w:val="0"/>
          <w:sz w:val="21"/>
          <w:szCs w:val="21"/>
          <w:lang w:val="en-US" w:eastAsia="zh-CN" w:bidi="ar"/>
        </w:rPr>
        <w:t> </w:t>
      </w:r>
    </w:p>
    <w:p w14:paraId="72821F65">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六、其他重要事项的情况说明</w:t>
      </w:r>
      <w:r>
        <w:rPr>
          <w:rFonts w:hint="eastAsia" w:ascii="等线" w:hAnsi="等线" w:eastAsia="等线" w:cs="等线"/>
          <w:i w:val="0"/>
          <w:iCs w:val="0"/>
          <w:caps w:val="0"/>
          <w:color w:val="000000"/>
          <w:spacing w:val="0"/>
          <w:kern w:val="0"/>
          <w:sz w:val="21"/>
          <w:szCs w:val="21"/>
          <w:lang w:val="en-US" w:eastAsia="zh-CN" w:bidi="ar"/>
        </w:rPr>
        <w:t> </w:t>
      </w:r>
    </w:p>
    <w:p w14:paraId="756549FB">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（一）机关运行经费</w:t>
      </w:r>
      <w:r>
        <w:rPr>
          <w:rFonts w:hint="eastAsia" w:ascii="等线" w:hAnsi="等线" w:eastAsia="等线" w:cs="等线"/>
          <w:i w:val="0"/>
          <w:iCs w:val="0"/>
          <w:caps w:val="0"/>
          <w:color w:val="000000"/>
          <w:spacing w:val="0"/>
          <w:kern w:val="0"/>
          <w:sz w:val="21"/>
          <w:szCs w:val="21"/>
          <w:lang w:val="en-US" w:eastAsia="zh-CN" w:bidi="ar"/>
        </w:rPr>
        <w:t> </w:t>
      </w:r>
    </w:p>
    <w:p w14:paraId="31AFF1DD">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（二）“三公”经费预算</w:t>
      </w:r>
      <w:r>
        <w:rPr>
          <w:rFonts w:hint="eastAsia" w:ascii="等线" w:hAnsi="等线" w:eastAsia="等线" w:cs="等线"/>
          <w:i w:val="0"/>
          <w:iCs w:val="0"/>
          <w:caps w:val="0"/>
          <w:color w:val="000000"/>
          <w:spacing w:val="0"/>
          <w:kern w:val="0"/>
          <w:sz w:val="21"/>
          <w:szCs w:val="21"/>
          <w:lang w:val="en-US" w:eastAsia="zh-CN" w:bidi="ar"/>
        </w:rPr>
        <w:t> </w:t>
      </w:r>
    </w:p>
    <w:p w14:paraId="2B93AA3A">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（三）一般性支出情况</w:t>
      </w:r>
      <w:r>
        <w:rPr>
          <w:rFonts w:hint="eastAsia" w:ascii="等线" w:hAnsi="等线" w:eastAsia="等线" w:cs="等线"/>
          <w:i w:val="0"/>
          <w:iCs w:val="0"/>
          <w:caps w:val="0"/>
          <w:color w:val="000000"/>
          <w:spacing w:val="0"/>
          <w:kern w:val="0"/>
          <w:sz w:val="21"/>
          <w:szCs w:val="21"/>
          <w:lang w:val="en-US" w:eastAsia="zh-CN" w:bidi="ar"/>
        </w:rPr>
        <w:t> </w:t>
      </w:r>
    </w:p>
    <w:p w14:paraId="709C0ED6">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（四）政府采购情况</w:t>
      </w:r>
      <w:r>
        <w:rPr>
          <w:rFonts w:hint="eastAsia" w:ascii="等线" w:hAnsi="等线" w:eastAsia="等线" w:cs="等线"/>
          <w:i w:val="0"/>
          <w:iCs w:val="0"/>
          <w:caps w:val="0"/>
          <w:color w:val="000000"/>
          <w:spacing w:val="0"/>
          <w:kern w:val="0"/>
          <w:sz w:val="21"/>
          <w:szCs w:val="21"/>
          <w:lang w:val="en-US" w:eastAsia="zh-CN" w:bidi="ar"/>
        </w:rPr>
        <w:t> </w:t>
      </w:r>
    </w:p>
    <w:p w14:paraId="40E1D6FA">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（五）国有资产占用使用及新增资产配置情况</w:t>
      </w:r>
      <w:r>
        <w:rPr>
          <w:rFonts w:hint="eastAsia" w:ascii="等线" w:hAnsi="等线" w:eastAsia="等线" w:cs="等线"/>
          <w:i w:val="0"/>
          <w:iCs w:val="0"/>
          <w:caps w:val="0"/>
          <w:color w:val="000000"/>
          <w:spacing w:val="0"/>
          <w:kern w:val="0"/>
          <w:sz w:val="21"/>
          <w:szCs w:val="21"/>
          <w:lang w:val="en-US" w:eastAsia="zh-CN" w:bidi="ar"/>
        </w:rPr>
        <w:t> </w:t>
      </w:r>
    </w:p>
    <w:p w14:paraId="57546E8E">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（六）部门整体支出、单位项目支出、重点（专项）项目支出预算绩效目标情况说明</w:t>
      </w:r>
      <w:r>
        <w:rPr>
          <w:rFonts w:hint="eastAsia" w:ascii="等线" w:hAnsi="等线" w:eastAsia="等线" w:cs="等线"/>
          <w:i w:val="0"/>
          <w:iCs w:val="0"/>
          <w:caps w:val="0"/>
          <w:color w:val="000000"/>
          <w:spacing w:val="0"/>
          <w:kern w:val="0"/>
          <w:sz w:val="21"/>
          <w:szCs w:val="21"/>
          <w:lang w:val="en-US" w:eastAsia="zh-CN" w:bidi="ar"/>
        </w:rPr>
        <w:t> </w:t>
      </w:r>
    </w:p>
    <w:p w14:paraId="7DC1FFC3">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七、名词解释</w:t>
      </w:r>
      <w:r>
        <w:rPr>
          <w:rFonts w:hint="eastAsia" w:ascii="等线" w:hAnsi="等线" w:eastAsia="等线" w:cs="等线"/>
          <w:i w:val="0"/>
          <w:iCs w:val="0"/>
          <w:caps w:val="0"/>
          <w:color w:val="000000"/>
          <w:spacing w:val="0"/>
          <w:kern w:val="0"/>
          <w:sz w:val="21"/>
          <w:szCs w:val="21"/>
          <w:lang w:val="en-US" w:eastAsia="zh-CN" w:bidi="ar"/>
        </w:rPr>
        <w:t> </w:t>
      </w:r>
    </w:p>
    <w:p w14:paraId="6756A4D0">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第二部分</w:t>
      </w:r>
      <w:r>
        <w:rPr>
          <w:rFonts w:hint="eastAsia" w:ascii="等线" w:hAnsi="等线" w:eastAsia="等线" w:cs="等线"/>
          <w:b/>
          <w:bCs/>
          <w:i w:val="0"/>
          <w:iCs w:val="0"/>
          <w:caps w:val="0"/>
          <w:color w:val="000000"/>
          <w:spacing w:val="0"/>
          <w:kern w:val="0"/>
          <w:sz w:val="21"/>
          <w:szCs w:val="21"/>
          <w:lang w:val="en-US" w:eastAsia="zh-CN" w:bidi="ar"/>
        </w:rPr>
        <w:t> </w:t>
      </w:r>
      <w:r>
        <w:rPr>
          <w:rFonts w:hint="eastAsia" w:ascii="宋体" w:hAnsi="宋体" w:eastAsia="宋体" w:cs="宋体"/>
          <w:b/>
          <w:bCs/>
          <w:i w:val="0"/>
          <w:iCs w:val="0"/>
          <w:caps w:val="0"/>
          <w:color w:val="000000"/>
          <w:spacing w:val="0"/>
          <w:kern w:val="0"/>
          <w:sz w:val="32"/>
          <w:szCs w:val="32"/>
          <w:lang w:val="en-US" w:eastAsia="zh-CN" w:bidi="ar"/>
        </w:rPr>
        <w:t>2025年部门预算表</w:t>
      </w:r>
      <w:r>
        <w:rPr>
          <w:rFonts w:hint="eastAsia" w:ascii="等线" w:hAnsi="等线" w:eastAsia="等线" w:cs="等线"/>
          <w:i w:val="0"/>
          <w:iCs w:val="0"/>
          <w:caps w:val="0"/>
          <w:color w:val="000000"/>
          <w:spacing w:val="0"/>
          <w:kern w:val="0"/>
          <w:sz w:val="21"/>
          <w:szCs w:val="21"/>
          <w:lang w:val="en-US" w:eastAsia="zh-CN" w:bidi="ar"/>
        </w:rPr>
        <w:t> </w:t>
      </w:r>
    </w:p>
    <w:p w14:paraId="58A5239F">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1、收支总表</w:t>
      </w:r>
      <w:r>
        <w:rPr>
          <w:rFonts w:hint="eastAsia" w:ascii="等线" w:hAnsi="等线" w:eastAsia="等线" w:cs="等线"/>
          <w:i w:val="0"/>
          <w:iCs w:val="0"/>
          <w:caps w:val="0"/>
          <w:color w:val="000000"/>
          <w:spacing w:val="0"/>
          <w:kern w:val="0"/>
          <w:sz w:val="21"/>
          <w:szCs w:val="21"/>
          <w:lang w:val="en-US" w:eastAsia="zh-CN" w:bidi="ar"/>
        </w:rPr>
        <w:t> </w:t>
      </w:r>
    </w:p>
    <w:p w14:paraId="40789EC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2、收入总表</w:t>
      </w:r>
      <w:r>
        <w:rPr>
          <w:rFonts w:hint="eastAsia" w:ascii="等线" w:hAnsi="等线" w:eastAsia="等线" w:cs="等线"/>
          <w:i w:val="0"/>
          <w:iCs w:val="0"/>
          <w:caps w:val="0"/>
          <w:color w:val="000000"/>
          <w:spacing w:val="0"/>
          <w:kern w:val="0"/>
          <w:sz w:val="21"/>
          <w:szCs w:val="21"/>
          <w:lang w:val="en-US" w:eastAsia="zh-CN" w:bidi="ar"/>
        </w:rPr>
        <w:t> </w:t>
      </w:r>
    </w:p>
    <w:p w14:paraId="4C288F59">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3、支出总表</w:t>
      </w:r>
      <w:r>
        <w:rPr>
          <w:rFonts w:hint="eastAsia" w:ascii="等线" w:hAnsi="等线" w:eastAsia="等线" w:cs="等线"/>
          <w:i w:val="0"/>
          <w:iCs w:val="0"/>
          <w:caps w:val="0"/>
          <w:color w:val="000000"/>
          <w:spacing w:val="0"/>
          <w:kern w:val="0"/>
          <w:sz w:val="21"/>
          <w:szCs w:val="21"/>
          <w:lang w:val="en-US" w:eastAsia="zh-CN" w:bidi="ar"/>
        </w:rPr>
        <w:t> </w:t>
      </w:r>
    </w:p>
    <w:p w14:paraId="013E1ED9">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4、支出预算分类汇总表（按政府预算经济分类）</w:t>
      </w:r>
      <w:r>
        <w:rPr>
          <w:rFonts w:hint="eastAsia" w:ascii="等线" w:hAnsi="等线" w:eastAsia="等线" w:cs="等线"/>
          <w:i w:val="0"/>
          <w:iCs w:val="0"/>
          <w:caps w:val="0"/>
          <w:color w:val="000000"/>
          <w:spacing w:val="0"/>
          <w:kern w:val="0"/>
          <w:sz w:val="21"/>
          <w:szCs w:val="21"/>
          <w:lang w:val="en-US" w:eastAsia="zh-CN" w:bidi="ar"/>
        </w:rPr>
        <w:t> </w:t>
      </w:r>
    </w:p>
    <w:p w14:paraId="184BC6CA">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5、支出预算分类汇总表（按部门预算经济分类）</w:t>
      </w:r>
      <w:r>
        <w:rPr>
          <w:rFonts w:hint="eastAsia" w:ascii="等线" w:hAnsi="等线" w:eastAsia="等线" w:cs="等线"/>
          <w:i w:val="0"/>
          <w:iCs w:val="0"/>
          <w:caps w:val="0"/>
          <w:color w:val="000000"/>
          <w:spacing w:val="0"/>
          <w:kern w:val="0"/>
          <w:sz w:val="21"/>
          <w:szCs w:val="21"/>
          <w:lang w:val="en-US" w:eastAsia="zh-CN" w:bidi="ar"/>
        </w:rPr>
        <w:t> </w:t>
      </w:r>
    </w:p>
    <w:p w14:paraId="0CF6AE73">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6、财政拨款收支总表</w:t>
      </w:r>
      <w:r>
        <w:rPr>
          <w:rFonts w:hint="eastAsia" w:ascii="等线" w:hAnsi="等线" w:eastAsia="等线" w:cs="等线"/>
          <w:i w:val="0"/>
          <w:iCs w:val="0"/>
          <w:caps w:val="0"/>
          <w:color w:val="000000"/>
          <w:spacing w:val="0"/>
          <w:kern w:val="0"/>
          <w:sz w:val="21"/>
          <w:szCs w:val="21"/>
          <w:lang w:val="en-US" w:eastAsia="zh-CN" w:bidi="ar"/>
        </w:rPr>
        <w:t> </w:t>
      </w:r>
    </w:p>
    <w:p w14:paraId="4397CAD0">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7、一般公共预算支出表</w:t>
      </w:r>
      <w:r>
        <w:rPr>
          <w:rFonts w:hint="eastAsia" w:ascii="等线" w:hAnsi="等线" w:eastAsia="等线" w:cs="等线"/>
          <w:i w:val="0"/>
          <w:iCs w:val="0"/>
          <w:caps w:val="0"/>
          <w:color w:val="000000"/>
          <w:spacing w:val="0"/>
          <w:kern w:val="0"/>
          <w:sz w:val="21"/>
          <w:szCs w:val="21"/>
          <w:lang w:val="en-US" w:eastAsia="zh-CN" w:bidi="ar"/>
        </w:rPr>
        <w:t> </w:t>
      </w:r>
    </w:p>
    <w:p w14:paraId="55BE42F2">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8、一般公共预算基本支出表</w:t>
      </w:r>
    </w:p>
    <w:p w14:paraId="467D5AD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9、一般公共预算基本支出表--人员经费(工资福利支出)(按政府预算经济分类)</w:t>
      </w:r>
      <w:r>
        <w:rPr>
          <w:rFonts w:hint="eastAsia" w:ascii="等线" w:hAnsi="等线" w:eastAsia="等线" w:cs="等线"/>
          <w:i w:val="0"/>
          <w:iCs w:val="0"/>
          <w:caps w:val="0"/>
          <w:color w:val="000000"/>
          <w:spacing w:val="0"/>
          <w:kern w:val="0"/>
          <w:sz w:val="21"/>
          <w:szCs w:val="21"/>
          <w:lang w:val="en-US" w:eastAsia="zh-CN" w:bidi="ar"/>
        </w:rPr>
        <w:t> </w:t>
      </w:r>
    </w:p>
    <w:p w14:paraId="1D3BB5E2">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10、一般公共预算基本支出表--人员经费(工资福利支出)(按部门预算经济分类)</w:t>
      </w:r>
      <w:r>
        <w:rPr>
          <w:rFonts w:hint="eastAsia" w:ascii="等线" w:hAnsi="等线" w:eastAsia="等线" w:cs="等线"/>
          <w:i w:val="0"/>
          <w:iCs w:val="0"/>
          <w:caps w:val="0"/>
          <w:color w:val="000000"/>
          <w:spacing w:val="0"/>
          <w:kern w:val="0"/>
          <w:sz w:val="21"/>
          <w:szCs w:val="21"/>
          <w:lang w:val="en-US" w:eastAsia="zh-CN" w:bidi="ar"/>
        </w:rPr>
        <w:t> </w:t>
      </w:r>
    </w:p>
    <w:p w14:paraId="32E48F6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11、一般公共预算基本支出表--人员经费(对个人和家庭的补助)(按政府预算经济分类)</w:t>
      </w:r>
      <w:r>
        <w:rPr>
          <w:rFonts w:hint="eastAsia" w:ascii="等线" w:hAnsi="等线" w:eastAsia="等线" w:cs="等线"/>
          <w:i w:val="0"/>
          <w:iCs w:val="0"/>
          <w:caps w:val="0"/>
          <w:color w:val="000000"/>
          <w:spacing w:val="0"/>
          <w:kern w:val="0"/>
          <w:sz w:val="21"/>
          <w:szCs w:val="21"/>
          <w:lang w:val="en-US" w:eastAsia="zh-CN" w:bidi="ar"/>
        </w:rPr>
        <w:t> </w:t>
      </w:r>
    </w:p>
    <w:p w14:paraId="51C1F44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12、一般公共预算基本支出表--人员经费(对个人和家庭的补助)（按部门预算经济分类）</w:t>
      </w:r>
      <w:r>
        <w:rPr>
          <w:rFonts w:hint="eastAsia" w:ascii="等线" w:hAnsi="等线" w:eastAsia="等线" w:cs="等线"/>
          <w:i w:val="0"/>
          <w:iCs w:val="0"/>
          <w:caps w:val="0"/>
          <w:color w:val="000000"/>
          <w:spacing w:val="0"/>
          <w:kern w:val="0"/>
          <w:sz w:val="21"/>
          <w:szCs w:val="21"/>
          <w:lang w:val="en-US" w:eastAsia="zh-CN" w:bidi="ar"/>
        </w:rPr>
        <w:t> </w:t>
      </w:r>
    </w:p>
    <w:p w14:paraId="51910F3B">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13、一般公共预算基本支出表--公用经费(商品和服务支出)（按政府预算经济分类）</w:t>
      </w:r>
      <w:r>
        <w:rPr>
          <w:rFonts w:hint="eastAsia" w:ascii="等线" w:hAnsi="等线" w:eastAsia="等线" w:cs="等线"/>
          <w:i w:val="0"/>
          <w:iCs w:val="0"/>
          <w:caps w:val="0"/>
          <w:color w:val="000000"/>
          <w:spacing w:val="0"/>
          <w:kern w:val="0"/>
          <w:sz w:val="21"/>
          <w:szCs w:val="21"/>
          <w:lang w:val="en-US" w:eastAsia="zh-CN" w:bidi="ar"/>
        </w:rPr>
        <w:t> </w:t>
      </w:r>
    </w:p>
    <w:p w14:paraId="3D75A0A7">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14、一般公共预算基本支出表--公用经费(商品和服务支出)(按部门预算经济分类)</w:t>
      </w:r>
      <w:r>
        <w:rPr>
          <w:rFonts w:hint="eastAsia" w:ascii="等线" w:hAnsi="等线" w:eastAsia="等线" w:cs="等线"/>
          <w:i w:val="0"/>
          <w:iCs w:val="0"/>
          <w:caps w:val="0"/>
          <w:color w:val="000000"/>
          <w:spacing w:val="0"/>
          <w:kern w:val="0"/>
          <w:sz w:val="21"/>
          <w:szCs w:val="21"/>
          <w:lang w:val="en-US" w:eastAsia="zh-CN" w:bidi="ar"/>
        </w:rPr>
        <w:t> </w:t>
      </w:r>
    </w:p>
    <w:p w14:paraId="5A1872DD">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15、一般公共预算“三公”经费支出表</w:t>
      </w:r>
      <w:r>
        <w:rPr>
          <w:rFonts w:hint="eastAsia" w:ascii="等线" w:hAnsi="等线" w:eastAsia="等线" w:cs="等线"/>
          <w:i w:val="0"/>
          <w:iCs w:val="0"/>
          <w:caps w:val="0"/>
          <w:color w:val="000000"/>
          <w:spacing w:val="0"/>
          <w:kern w:val="0"/>
          <w:sz w:val="21"/>
          <w:szCs w:val="21"/>
          <w:lang w:val="en-US" w:eastAsia="zh-CN" w:bidi="ar"/>
        </w:rPr>
        <w:t> </w:t>
      </w:r>
    </w:p>
    <w:p w14:paraId="582E87B1">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16、政府性基金预算支出表</w:t>
      </w:r>
      <w:r>
        <w:rPr>
          <w:rFonts w:hint="eastAsia" w:ascii="等线" w:hAnsi="等线" w:eastAsia="等线" w:cs="等线"/>
          <w:i w:val="0"/>
          <w:iCs w:val="0"/>
          <w:caps w:val="0"/>
          <w:color w:val="000000"/>
          <w:spacing w:val="0"/>
          <w:kern w:val="0"/>
          <w:sz w:val="21"/>
          <w:szCs w:val="21"/>
          <w:lang w:val="en-US" w:eastAsia="zh-CN" w:bidi="ar"/>
        </w:rPr>
        <w:t> </w:t>
      </w:r>
    </w:p>
    <w:p w14:paraId="07E21B1E">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17、政府性基金预算支出分类汇总表（按政府预算经济分类）</w:t>
      </w:r>
      <w:r>
        <w:rPr>
          <w:rFonts w:hint="eastAsia" w:ascii="等线" w:hAnsi="等线" w:eastAsia="等线" w:cs="等线"/>
          <w:i w:val="0"/>
          <w:iCs w:val="0"/>
          <w:caps w:val="0"/>
          <w:color w:val="000000"/>
          <w:spacing w:val="0"/>
          <w:kern w:val="0"/>
          <w:sz w:val="21"/>
          <w:szCs w:val="21"/>
          <w:lang w:val="en-US" w:eastAsia="zh-CN" w:bidi="ar"/>
        </w:rPr>
        <w:t> </w:t>
      </w:r>
    </w:p>
    <w:p w14:paraId="38A2C7DA">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18、政府性基金预算支出分类汇总表（按部门预算经济分类）</w:t>
      </w:r>
      <w:r>
        <w:rPr>
          <w:rFonts w:hint="eastAsia" w:ascii="等线" w:hAnsi="等线" w:eastAsia="等线" w:cs="等线"/>
          <w:i w:val="0"/>
          <w:iCs w:val="0"/>
          <w:caps w:val="0"/>
          <w:color w:val="000000"/>
          <w:spacing w:val="0"/>
          <w:kern w:val="0"/>
          <w:sz w:val="21"/>
          <w:szCs w:val="21"/>
          <w:lang w:val="en-US" w:eastAsia="zh-CN" w:bidi="ar"/>
        </w:rPr>
        <w:t> </w:t>
      </w:r>
    </w:p>
    <w:p w14:paraId="7DAD81A6">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19、国有资本经营预算表</w:t>
      </w:r>
      <w:r>
        <w:rPr>
          <w:rFonts w:hint="eastAsia" w:ascii="等线" w:hAnsi="等线" w:eastAsia="等线" w:cs="等线"/>
          <w:i w:val="0"/>
          <w:iCs w:val="0"/>
          <w:caps w:val="0"/>
          <w:color w:val="000000"/>
          <w:spacing w:val="0"/>
          <w:kern w:val="0"/>
          <w:sz w:val="21"/>
          <w:szCs w:val="21"/>
          <w:lang w:val="en-US" w:eastAsia="zh-CN" w:bidi="ar"/>
        </w:rPr>
        <w:t> </w:t>
      </w:r>
    </w:p>
    <w:p w14:paraId="613B6F49">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20、财政专户管理资金预算支出表</w:t>
      </w:r>
      <w:r>
        <w:rPr>
          <w:rFonts w:hint="eastAsia" w:ascii="等线" w:hAnsi="等线" w:eastAsia="等线" w:cs="等线"/>
          <w:i w:val="0"/>
          <w:iCs w:val="0"/>
          <w:caps w:val="0"/>
          <w:color w:val="000000"/>
          <w:spacing w:val="0"/>
          <w:kern w:val="0"/>
          <w:sz w:val="21"/>
          <w:szCs w:val="21"/>
          <w:lang w:val="en-US" w:eastAsia="zh-CN" w:bidi="ar"/>
        </w:rPr>
        <w:t> </w:t>
      </w:r>
    </w:p>
    <w:p w14:paraId="59AD1E0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21、专项资金预算汇总表</w:t>
      </w:r>
      <w:r>
        <w:rPr>
          <w:rFonts w:hint="eastAsia" w:ascii="等线" w:hAnsi="等线" w:eastAsia="等线" w:cs="等线"/>
          <w:i w:val="0"/>
          <w:iCs w:val="0"/>
          <w:caps w:val="0"/>
          <w:color w:val="000000"/>
          <w:spacing w:val="0"/>
          <w:kern w:val="0"/>
          <w:sz w:val="21"/>
          <w:szCs w:val="21"/>
          <w:lang w:val="en-US" w:eastAsia="zh-CN" w:bidi="ar"/>
        </w:rPr>
        <w:t> </w:t>
      </w:r>
    </w:p>
    <w:p w14:paraId="605454AF">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注：以上部门预算报表中，空表表示本部门无相关收支情况。</w:t>
      </w:r>
      <w:r>
        <w:rPr>
          <w:rFonts w:hint="eastAsia" w:ascii="等线" w:hAnsi="等线" w:eastAsia="等线" w:cs="等线"/>
          <w:i w:val="0"/>
          <w:iCs w:val="0"/>
          <w:caps w:val="0"/>
          <w:color w:val="000000"/>
          <w:spacing w:val="0"/>
          <w:kern w:val="0"/>
          <w:sz w:val="21"/>
          <w:szCs w:val="21"/>
          <w:lang w:val="en-US" w:eastAsia="zh-CN" w:bidi="ar"/>
        </w:rPr>
        <w:t> </w:t>
      </w:r>
    </w:p>
    <w:p w14:paraId="668BAC0B">
      <w:pPr>
        <w:pStyle w:val="2"/>
        <w:keepNext w:val="0"/>
        <w:keepLines w:val="0"/>
        <w:widowControl/>
        <w:suppressLineNumbers w:val="0"/>
        <w:spacing w:before="0" w:beforeAutospacing="0" w:after="2"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4"/>
          <w:szCs w:val="24"/>
        </w:rPr>
        <w:t> </w:t>
      </w:r>
    </w:p>
    <w:p w14:paraId="25E75348">
      <w:pPr>
        <w:keepNext w:val="0"/>
        <w:keepLines w:val="0"/>
        <w:widowControl/>
        <w:suppressLineNumbers w:val="0"/>
        <w:spacing w:before="0" w:beforeAutospacing="0" w:after="2" w:afterAutospacing="0"/>
        <w:ind w:left="0" w:right="0" w:firstLine="0"/>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 </w:t>
      </w:r>
      <w:r>
        <w:rPr>
          <w:rFonts w:hint="eastAsia" w:ascii="等线" w:hAnsi="等线" w:eastAsia="等线" w:cs="等线"/>
          <w:i w:val="0"/>
          <w:iCs w:val="0"/>
          <w:caps w:val="0"/>
          <w:color w:val="000000"/>
          <w:spacing w:val="0"/>
          <w:kern w:val="0"/>
          <w:sz w:val="21"/>
          <w:szCs w:val="21"/>
          <w:lang w:val="en-US" w:eastAsia="zh-CN" w:bidi="ar"/>
        </w:rPr>
        <w:t> </w:t>
      </w:r>
    </w:p>
    <w:p w14:paraId="438B8A62">
      <w:pPr>
        <w:keepNext w:val="0"/>
        <w:keepLines w:val="0"/>
        <w:widowControl/>
        <w:suppressLineNumbers w:val="0"/>
        <w:spacing w:before="0" w:beforeAutospacing="0" w:after="2" w:afterAutospacing="0"/>
        <w:ind w:left="0" w:right="0" w:firstLine="0"/>
        <w:jc w:val="both"/>
        <w:rPr>
          <w:rFonts w:hint="eastAsia" w:ascii="等线" w:hAnsi="等线" w:eastAsia="等线" w:cs="等线"/>
          <w:i w:val="0"/>
          <w:iCs w:val="0"/>
          <w:caps w:val="0"/>
          <w:color w:val="000000"/>
          <w:spacing w:val="0"/>
          <w:sz w:val="21"/>
          <w:szCs w:val="21"/>
        </w:rPr>
      </w:pPr>
      <w:r>
        <w:rPr>
          <w:rFonts w:hint="eastAsia" w:ascii="等线" w:hAnsi="等线" w:eastAsia="等线" w:cs="等线"/>
          <w:i w:val="0"/>
          <w:iCs w:val="0"/>
          <w:caps w:val="0"/>
          <w:color w:val="000000"/>
          <w:spacing w:val="0"/>
          <w:kern w:val="0"/>
          <w:sz w:val="21"/>
          <w:szCs w:val="21"/>
          <w:lang w:val="en-US" w:eastAsia="zh-CN" w:bidi="ar"/>
        </w:rPr>
        <w:t> </w:t>
      </w:r>
    </w:p>
    <w:p w14:paraId="115D7548">
      <w:pPr>
        <w:keepNext w:val="0"/>
        <w:keepLines w:val="0"/>
        <w:widowControl/>
        <w:suppressLineNumbers w:val="0"/>
        <w:spacing w:before="0" w:beforeAutospacing="0" w:after="2" w:afterAutospacing="0"/>
        <w:ind w:left="0" w:right="0" w:firstLine="0"/>
        <w:jc w:val="center"/>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40"/>
          <w:szCs w:val="40"/>
          <w:lang w:val="en-US" w:eastAsia="zh-CN" w:bidi="ar"/>
        </w:rPr>
        <w:t>第一部分 2025年部门预算说明</w:t>
      </w:r>
      <w:r>
        <w:rPr>
          <w:rFonts w:hint="eastAsia" w:ascii="等线" w:hAnsi="等线" w:eastAsia="等线" w:cs="等线"/>
          <w:i w:val="0"/>
          <w:iCs w:val="0"/>
          <w:caps w:val="0"/>
          <w:color w:val="000000"/>
          <w:spacing w:val="0"/>
          <w:kern w:val="0"/>
          <w:sz w:val="21"/>
          <w:szCs w:val="21"/>
          <w:lang w:val="en-US" w:eastAsia="zh-CN" w:bidi="ar"/>
        </w:rPr>
        <w:t> </w:t>
      </w:r>
    </w:p>
    <w:p w14:paraId="289EFF26">
      <w:pPr>
        <w:keepNext w:val="0"/>
        <w:keepLines w:val="0"/>
        <w:widowControl/>
        <w:suppressLineNumbers w:val="0"/>
        <w:spacing w:before="0" w:beforeAutospacing="0" w:after="2" w:afterAutospacing="0"/>
        <w:ind w:left="0" w:right="0" w:firstLine="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 </w:t>
      </w:r>
      <w:r>
        <w:rPr>
          <w:rFonts w:hint="eastAsia" w:ascii="等线" w:hAnsi="等线" w:eastAsia="等线" w:cs="等线"/>
          <w:i w:val="0"/>
          <w:iCs w:val="0"/>
          <w:caps w:val="0"/>
          <w:color w:val="000000"/>
          <w:spacing w:val="0"/>
          <w:kern w:val="0"/>
          <w:sz w:val="21"/>
          <w:szCs w:val="21"/>
          <w:lang w:val="en-US" w:eastAsia="zh-CN" w:bidi="ar"/>
        </w:rPr>
        <w:t> </w:t>
      </w:r>
    </w:p>
    <w:p w14:paraId="19557868">
      <w:pPr>
        <w:keepNext w:val="0"/>
        <w:keepLines w:val="0"/>
        <w:widowControl/>
        <w:suppressLineNumbers w:val="0"/>
        <w:spacing w:before="0" w:beforeAutospacing="0" w:after="2" w:afterAutospacing="0"/>
        <w:ind w:left="0" w:right="0" w:firstLine="627"/>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一、部门基本概况</w:t>
      </w:r>
      <w:r>
        <w:rPr>
          <w:rFonts w:hint="eastAsia" w:ascii="等线" w:hAnsi="等线" w:eastAsia="等线" w:cs="等线"/>
          <w:i w:val="0"/>
          <w:iCs w:val="0"/>
          <w:caps w:val="0"/>
          <w:color w:val="000000"/>
          <w:spacing w:val="0"/>
          <w:kern w:val="0"/>
          <w:sz w:val="21"/>
          <w:szCs w:val="21"/>
          <w:lang w:val="en-US" w:eastAsia="zh-CN" w:bidi="ar"/>
        </w:rPr>
        <w:t> </w:t>
      </w:r>
    </w:p>
    <w:p w14:paraId="61A2852D">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（一）职能职责</w:t>
      </w:r>
      <w:r>
        <w:rPr>
          <w:rFonts w:hint="eastAsia" w:ascii="等线" w:hAnsi="等线" w:eastAsia="等线" w:cs="等线"/>
          <w:i w:val="0"/>
          <w:iCs w:val="0"/>
          <w:caps w:val="0"/>
          <w:color w:val="000000"/>
          <w:spacing w:val="0"/>
          <w:kern w:val="0"/>
          <w:sz w:val="21"/>
          <w:szCs w:val="21"/>
          <w:lang w:val="en-US" w:eastAsia="zh-CN" w:bidi="ar"/>
        </w:rPr>
        <w:t> </w:t>
      </w:r>
    </w:p>
    <w:p w14:paraId="261B80A1">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湘潭开放大学（原湘潭广播电视大学）创办于1979年，由湘潭市人民政府主办，归口湘潭市教育局管理，是一所主要面向在职成人开展学历教育和非学历继续教育的开放大学，2021年12月23日正式更名为湘潭开放大学。</w:t>
      </w:r>
      <w:r>
        <w:rPr>
          <w:rFonts w:hint="default" w:ascii="Times New Roman" w:hAnsi="Times New Roman" w:eastAsia="等线" w:cs="Times New Roman"/>
          <w:i w:val="0"/>
          <w:iCs w:val="0"/>
          <w:caps w:val="0"/>
          <w:color w:val="000000"/>
          <w:spacing w:val="0"/>
          <w:kern w:val="0"/>
          <w:sz w:val="32"/>
          <w:szCs w:val="32"/>
          <w:lang w:val="en-US" w:eastAsia="zh-CN" w:bidi="ar"/>
        </w:rPr>
        <w:t> </w:t>
      </w:r>
    </w:p>
    <w:p w14:paraId="2555BAC0">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（二）机构设置</w:t>
      </w:r>
      <w:r>
        <w:rPr>
          <w:rFonts w:hint="eastAsia" w:ascii="等线" w:hAnsi="等线" w:eastAsia="等线" w:cs="等线"/>
          <w:i w:val="0"/>
          <w:iCs w:val="0"/>
          <w:caps w:val="0"/>
          <w:color w:val="000000"/>
          <w:spacing w:val="0"/>
          <w:kern w:val="0"/>
          <w:sz w:val="21"/>
          <w:szCs w:val="21"/>
          <w:lang w:val="en-US" w:eastAsia="zh-CN" w:bidi="ar"/>
        </w:rPr>
        <w:t> </w:t>
      </w:r>
    </w:p>
    <w:p w14:paraId="689C4B40">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湘潭开放大学内设机构包括：学校共有编制人数98人，实有在编人数61人，编外教师35人，退休35人。内设机构15个，分别为：1.党政办公室、2.组织人事部、3.宣传统战部、4.教务科研部、5. 计划财务部、6.后</w:t>
      </w:r>
      <w:bookmarkStart w:id="0" w:name="_GoBack"/>
      <w:bookmarkEnd w:id="0"/>
      <w:r>
        <w:rPr>
          <w:rFonts w:hint="eastAsia" w:ascii="宋体" w:hAnsi="宋体" w:eastAsia="宋体" w:cs="宋体"/>
          <w:i w:val="0"/>
          <w:iCs w:val="0"/>
          <w:caps w:val="0"/>
          <w:color w:val="000000"/>
          <w:spacing w:val="0"/>
          <w:kern w:val="0"/>
          <w:sz w:val="32"/>
          <w:szCs w:val="32"/>
          <w:lang w:val="en-US" w:eastAsia="zh-CN" w:bidi="ar"/>
        </w:rPr>
        <w:t>勤保卫部、7.纪检监察室、8.工会、9.开放教育管理学院、10.开放教育应用学院、11.成人教育学院、12.继续教育学院、13.党员干部教育培训网络学院办公室、14.教育技术中心、15.终身教育服务指导中心（湘潭社区大学）。先后被评为首批“全国示范性基层电大”、“中央广播电视大学人才培养模式改革和开放教育试点”总结性评估优秀学校、国家开放大学“教育部‘一村一名大学生计划’”试点工作先进单位、湖南省文明单位、湖南省园林式单位、湖南省文明卫生单位、湖南省干部教育培训先进单位，是湖南开放大学系统历次评估检查获得全优的市州开放大学。</w:t>
      </w:r>
      <w:r>
        <w:rPr>
          <w:rFonts w:hint="eastAsia" w:ascii="等线" w:hAnsi="等线" w:eastAsia="等线" w:cs="等线"/>
          <w:i w:val="0"/>
          <w:iCs w:val="0"/>
          <w:caps w:val="0"/>
          <w:color w:val="000000"/>
          <w:spacing w:val="0"/>
          <w:kern w:val="0"/>
          <w:sz w:val="21"/>
          <w:szCs w:val="21"/>
          <w:lang w:val="en-US" w:eastAsia="zh-CN" w:bidi="ar"/>
        </w:rPr>
        <w:t> </w:t>
      </w:r>
    </w:p>
    <w:p w14:paraId="7045DAB1">
      <w:pPr>
        <w:keepNext w:val="0"/>
        <w:keepLines w:val="0"/>
        <w:widowControl/>
        <w:suppressLineNumbers w:val="0"/>
        <w:spacing w:before="0" w:beforeAutospacing="0" w:after="2" w:afterAutospacing="0"/>
        <w:ind w:left="0" w:right="0" w:firstLine="627"/>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二、部门预算单位构成</w:t>
      </w:r>
      <w:r>
        <w:rPr>
          <w:rFonts w:hint="eastAsia" w:ascii="等线" w:hAnsi="等线" w:eastAsia="等线" w:cs="等线"/>
          <w:i w:val="0"/>
          <w:iCs w:val="0"/>
          <w:caps w:val="0"/>
          <w:color w:val="000000"/>
          <w:spacing w:val="0"/>
          <w:kern w:val="0"/>
          <w:sz w:val="21"/>
          <w:szCs w:val="21"/>
          <w:lang w:val="en-US" w:eastAsia="zh-CN" w:bidi="ar"/>
        </w:rPr>
        <w:t> </w:t>
      </w:r>
    </w:p>
    <w:p w14:paraId="4BAB7FCA">
      <w:pPr>
        <w:keepNext w:val="0"/>
        <w:keepLines w:val="0"/>
        <w:widowControl/>
        <w:suppressLineNumbers w:val="0"/>
        <w:spacing w:before="0" w:beforeAutospacing="0" w:after="2" w:afterAutospacing="0"/>
        <w:ind w:left="0" w:right="0" w:firstLine="627"/>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湘潭开放大学只有本级，没有其他预算单位，纳入编制范围的预算单位仅含湘潭开放大学。</w:t>
      </w:r>
      <w:r>
        <w:rPr>
          <w:rFonts w:hint="eastAsia" w:ascii="等线" w:hAnsi="等线" w:eastAsia="等线" w:cs="等线"/>
          <w:i w:val="0"/>
          <w:iCs w:val="0"/>
          <w:caps w:val="0"/>
          <w:color w:val="000000"/>
          <w:spacing w:val="0"/>
          <w:kern w:val="0"/>
          <w:sz w:val="21"/>
          <w:szCs w:val="21"/>
          <w:lang w:val="en-US" w:eastAsia="zh-CN" w:bidi="ar"/>
        </w:rPr>
        <w:t> </w:t>
      </w:r>
    </w:p>
    <w:p w14:paraId="493CC17C">
      <w:pPr>
        <w:keepNext w:val="0"/>
        <w:keepLines w:val="0"/>
        <w:widowControl/>
        <w:suppressLineNumbers w:val="0"/>
        <w:spacing w:before="0" w:beforeAutospacing="0" w:after="2" w:afterAutospacing="0"/>
        <w:ind w:left="0" w:right="0" w:firstLine="627"/>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三、部门收支总体情况</w:t>
      </w:r>
      <w:r>
        <w:rPr>
          <w:rFonts w:hint="eastAsia" w:ascii="等线" w:hAnsi="等线" w:eastAsia="等线" w:cs="等线"/>
          <w:i w:val="0"/>
          <w:iCs w:val="0"/>
          <w:caps w:val="0"/>
          <w:color w:val="000000"/>
          <w:spacing w:val="0"/>
          <w:kern w:val="0"/>
          <w:sz w:val="21"/>
          <w:szCs w:val="21"/>
          <w:lang w:val="en-US" w:eastAsia="zh-CN" w:bidi="ar"/>
        </w:rPr>
        <w:t> </w:t>
      </w:r>
    </w:p>
    <w:p w14:paraId="397ED572">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（一）收入预算：</w:t>
      </w:r>
      <w:r>
        <w:rPr>
          <w:rFonts w:hint="eastAsia" w:ascii="宋体" w:hAnsi="宋体" w:eastAsia="宋体" w:cs="宋体"/>
          <w:i w:val="0"/>
          <w:iCs w:val="0"/>
          <w:caps w:val="0"/>
          <w:color w:val="000000"/>
          <w:spacing w:val="0"/>
          <w:kern w:val="0"/>
          <w:sz w:val="32"/>
          <w:szCs w:val="32"/>
          <w:lang w:val="en-US" w:eastAsia="zh-CN" w:bidi="ar"/>
        </w:rPr>
        <w:t>包括一般公共预算、政府性基金、国有资本经营预算等财政拨款收入，以及经营收入、事业收入等单位资金。2025年本部门收入预算3,359.87万元，其中：一般公共预算拨款1,304.19万元，（其中：纳入一般公共预算管理的非税收入拨款10万元），政府性基金预算拨款0万元，国有资本经营预算拨款0万元，财政专户管理资金2,055.68万元，其他收入0万元。收入较去年减少102.92万元，主要原因是学生人数减少，学费收入降低。</w:t>
      </w:r>
      <w:r>
        <w:rPr>
          <w:rFonts w:hint="eastAsia" w:ascii="等线" w:hAnsi="等线" w:eastAsia="等线" w:cs="等线"/>
          <w:i w:val="0"/>
          <w:iCs w:val="0"/>
          <w:caps w:val="0"/>
          <w:color w:val="000000"/>
          <w:spacing w:val="0"/>
          <w:kern w:val="0"/>
          <w:sz w:val="21"/>
          <w:szCs w:val="21"/>
          <w:lang w:val="en-US" w:eastAsia="zh-CN" w:bidi="ar"/>
        </w:rPr>
        <w:t> </w:t>
      </w:r>
    </w:p>
    <w:p w14:paraId="02063506">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（二）支出预算：</w:t>
      </w:r>
      <w:r>
        <w:rPr>
          <w:rFonts w:hint="eastAsia" w:ascii="宋体" w:hAnsi="宋体" w:eastAsia="宋体" w:cs="宋体"/>
          <w:i w:val="0"/>
          <w:iCs w:val="0"/>
          <w:caps w:val="0"/>
          <w:color w:val="000000"/>
          <w:spacing w:val="0"/>
          <w:kern w:val="0"/>
          <w:sz w:val="32"/>
          <w:szCs w:val="32"/>
          <w:lang w:val="en-US" w:eastAsia="zh-CN" w:bidi="ar"/>
        </w:rPr>
        <w:t>2025年本部门支出预算3,359.87万元，其中：教育支出3,359.87万元。支出较去年减少102.92万元，主要原因是学费收入减少，支出相应降低。</w:t>
      </w:r>
      <w:r>
        <w:rPr>
          <w:rFonts w:hint="eastAsia" w:ascii="等线" w:hAnsi="等线" w:eastAsia="等线" w:cs="等线"/>
          <w:i w:val="0"/>
          <w:iCs w:val="0"/>
          <w:caps w:val="0"/>
          <w:color w:val="000000"/>
          <w:spacing w:val="0"/>
          <w:kern w:val="0"/>
          <w:sz w:val="21"/>
          <w:szCs w:val="21"/>
          <w:lang w:val="en-US" w:eastAsia="zh-CN" w:bidi="ar"/>
        </w:rPr>
        <w:t> </w:t>
      </w:r>
    </w:p>
    <w:p w14:paraId="6197511F">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四、一般公共预算拨款支出</w:t>
      </w:r>
      <w:r>
        <w:rPr>
          <w:rFonts w:hint="eastAsia" w:ascii="等线" w:hAnsi="等线" w:eastAsia="等线" w:cs="等线"/>
          <w:i w:val="0"/>
          <w:iCs w:val="0"/>
          <w:caps w:val="0"/>
          <w:color w:val="000000"/>
          <w:spacing w:val="0"/>
          <w:kern w:val="0"/>
          <w:sz w:val="21"/>
          <w:szCs w:val="21"/>
          <w:lang w:val="en-US" w:eastAsia="zh-CN" w:bidi="ar"/>
        </w:rPr>
        <w:t> </w:t>
      </w:r>
    </w:p>
    <w:p w14:paraId="19D0AA11">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2025年本部门一般公共预算拨款支出预算1,304.19万元，其中：教育支出1,304.19万元，占100%。具体安排情况如下：</w:t>
      </w:r>
      <w:r>
        <w:rPr>
          <w:rFonts w:hint="eastAsia" w:ascii="等线" w:hAnsi="等线" w:eastAsia="等线" w:cs="等线"/>
          <w:i w:val="0"/>
          <w:iCs w:val="0"/>
          <w:caps w:val="0"/>
          <w:color w:val="000000"/>
          <w:spacing w:val="0"/>
          <w:kern w:val="0"/>
          <w:sz w:val="21"/>
          <w:szCs w:val="21"/>
          <w:lang w:val="en-US" w:eastAsia="zh-CN" w:bidi="ar"/>
        </w:rPr>
        <w:t> </w:t>
      </w:r>
    </w:p>
    <w:p w14:paraId="4335DD71">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（一）基本支出：</w:t>
      </w:r>
      <w:r>
        <w:rPr>
          <w:rFonts w:hint="eastAsia" w:ascii="宋体" w:hAnsi="宋体" w:eastAsia="宋体" w:cs="宋体"/>
          <w:i w:val="0"/>
          <w:iCs w:val="0"/>
          <w:caps w:val="0"/>
          <w:color w:val="000000"/>
          <w:spacing w:val="0"/>
          <w:kern w:val="0"/>
          <w:sz w:val="32"/>
          <w:szCs w:val="32"/>
          <w:lang w:val="en-US" w:eastAsia="zh-CN" w:bidi="ar"/>
        </w:rPr>
        <w:t>2025年本部门基本支出预算1,010.19万元，主要是为保障部门正常运转、完成日常工作任务而发生的各项支出，包括用于基本工资、津贴补贴等人员经费以及办公费、印刷费、水电费、办公设备购置等公用经费。</w:t>
      </w:r>
      <w:r>
        <w:rPr>
          <w:rFonts w:hint="eastAsia" w:ascii="等线" w:hAnsi="等线" w:eastAsia="等线" w:cs="等线"/>
          <w:i w:val="0"/>
          <w:iCs w:val="0"/>
          <w:caps w:val="0"/>
          <w:color w:val="000000"/>
          <w:spacing w:val="0"/>
          <w:kern w:val="0"/>
          <w:sz w:val="21"/>
          <w:szCs w:val="21"/>
          <w:lang w:val="en-US" w:eastAsia="zh-CN" w:bidi="ar"/>
        </w:rPr>
        <w:t> </w:t>
      </w:r>
    </w:p>
    <w:p w14:paraId="5F5AA9E8">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（二）项目支出：</w:t>
      </w:r>
      <w:r>
        <w:rPr>
          <w:rFonts w:hint="eastAsia" w:ascii="宋体" w:hAnsi="宋体" w:eastAsia="宋体" w:cs="宋体"/>
          <w:i w:val="0"/>
          <w:iCs w:val="0"/>
          <w:caps w:val="0"/>
          <w:color w:val="000000"/>
          <w:spacing w:val="0"/>
          <w:kern w:val="0"/>
          <w:sz w:val="32"/>
          <w:szCs w:val="32"/>
          <w:lang w:val="en-US" w:eastAsia="zh-CN" w:bidi="ar"/>
        </w:rPr>
        <w:t>2025年本部门项目支出预算294万元，主要是部门为完成特定行政工作任务或事业发展目标而发生的支出，包括有关事业发展专项、专项业务费、基本建设支出等，其中：广播电视学校支出294万元，主要用于湘潭市党员干部教育培训和校园安保等方面。</w:t>
      </w:r>
      <w:r>
        <w:rPr>
          <w:rFonts w:hint="eastAsia" w:ascii="等线" w:hAnsi="等线" w:eastAsia="等线" w:cs="等线"/>
          <w:i w:val="0"/>
          <w:iCs w:val="0"/>
          <w:caps w:val="0"/>
          <w:color w:val="000000"/>
          <w:spacing w:val="0"/>
          <w:kern w:val="0"/>
          <w:sz w:val="21"/>
          <w:szCs w:val="21"/>
          <w:lang w:val="en-US" w:eastAsia="zh-CN" w:bidi="ar"/>
        </w:rPr>
        <w:t> </w:t>
      </w:r>
    </w:p>
    <w:p w14:paraId="4F425DB2">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五、政府性基金预算支出</w:t>
      </w:r>
      <w:r>
        <w:rPr>
          <w:rFonts w:hint="eastAsia" w:ascii="等线" w:hAnsi="等线" w:eastAsia="等线" w:cs="等线"/>
          <w:i w:val="0"/>
          <w:iCs w:val="0"/>
          <w:caps w:val="0"/>
          <w:color w:val="000000"/>
          <w:spacing w:val="0"/>
          <w:kern w:val="0"/>
          <w:sz w:val="21"/>
          <w:szCs w:val="21"/>
          <w:lang w:val="en-US" w:eastAsia="zh-CN" w:bidi="ar"/>
        </w:rPr>
        <w:t> </w:t>
      </w:r>
    </w:p>
    <w:p w14:paraId="08C7B62E">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shd w:val="clear" w:fill="FFFFFF"/>
          <w:lang w:val="en-US" w:eastAsia="zh-CN" w:bidi="ar"/>
        </w:rPr>
        <w:t>2025年本部门无政府性基金安排的支出。</w:t>
      </w:r>
      <w:r>
        <w:rPr>
          <w:rFonts w:hint="eastAsia" w:ascii="等线" w:hAnsi="等线" w:eastAsia="等线" w:cs="等线"/>
          <w:i w:val="0"/>
          <w:iCs w:val="0"/>
          <w:caps w:val="0"/>
          <w:color w:val="000000"/>
          <w:spacing w:val="0"/>
          <w:kern w:val="0"/>
          <w:sz w:val="21"/>
          <w:szCs w:val="21"/>
          <w:lang w:val="en-US" w:eastAsia="zh-CN" w:bidi="ar"/>
        </w:rPr>
        <w:t> </w:t>
      </w:r>
    </w:p>
    <w:p w14:paraId="75B13F9A">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六、其他重要事项的情况说明</w:t>
      </w:r>
      <w:r>
        <w:rPr>
          <w:rFonts w:hint="eastAsia" w:ascii="等线" w:hAnsi="等线" w:eastAsia="等线" w:cs="等线"/>
          <w:i w:val="0"/>
          <w:iCs w:val="0"/>
          <w:caps w:val="0"/>
          <w:color w:val="000000"/>
          <w:spacing w:val="0"/>
          <w:kern w:val="0"/>
          <w:sz w:val="21"/>
          <w:szCs w:val="21"/>
          <w:lang w:val="en-US" w:eastAsia="zh-CN" w:bidi="ar"/>
        </w:rPr>
        <w:t> </w:t>
      </w:r>
    </w:p>
    <w:p w14:paraId="43CB3356">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（一）机关运行经费：</w:t>
      </w:r>
      <w:r>
        <w:rPr>
          <w:rFonts w:hint="eastAsia" w:ascii="宋体" w:hAnsi="宋体" w:eastAsia="宋体" w:cs="宋体"/>
          <w:i w:val="0"/>
          <w:iCs w:val="0"/>
          <w:caps w:val="0"/>
          <w:color w:val="000000"/>
          <w:spacing w:val="0"/>
          <w:kern w:val="0"/>
          <w:sz w:val="32"/>
          <w:szCs w:val="32"/>
          <w:lang w:val="en-US" w:eastAsia="zh-CN" w:bidi="ar"/>
        </w:rPr>
        <w:t>2025年本部门未纳入机关运行经费统计范围，无机关运行经费。</w:t>
      </w:r>
      <w:r>
        <w:rPr>
          <w:rFonts w:hint="eastAsia" w:ascii="等线" w:hAnsi="等线" w:eastAsia="等线" w:cs="等线"/>
          <w:i w:val="0"/>
          <w:iCs w:val="0"/>
          <w:caps w:val="0"/>
          <w:color w:val="000000"/>
          <w:spacing w:val="0"/>
          <w:kern w:val="0"/>
          <w:sz w:val="21"/>
          <w:szCs w:val="21"/>
          <w:lang w:val="en-US" w:eastAsia="zh-CN" w:bidi="ar"/>
        </w:rPr>
        <w:t> </w:t>
      </w:r>
    </w:p>
    <w:p w14:paraId="5DB57C37">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（二）“三公”经费预算：</w:t>
      </w:r>
      <w:r>
        <w:rPr>
          <w:rFonts w:hint="eastAsia" w:ascii="宋体" w:hAnsi="宋体" w:eastAsia="宋体" w:cs="宋体"/>
          <w:i w:val="0"/>
          <w:iCs w:val="0"/>
          <w:caps w:val="0"/>
          <w:color w:val="000000"/>
          <w:spacing w:val="0"/>
          <w:kern w:val="0"/>
          <w:sz w:val="32"/>
          <w:szCs w:val="32"/>
          <w:lang w:val="en-US" w:eastAsia="zh-CN" w:bidi="ar"/>
        </w:rPr>
        <w:t>2025年本部门“三公”经费预算数为0万元，其中，公务接待费0万元，公务用车购置及运行费0万元（其中，公务用车购置费0万元，公务用车运行费0万元），因公出国（境）费0万元。2025年“三公”经费预算较2024年减少6.2万元，主要是学校的“三公”经费预算在业务性项目中开支，实际2025年“三公”经费较2024年没有减少。</w:t>
      </w:r>
      <w:r>
        <w:rPr>
          <w:rFonts w:hint="eastAsia" w:ascii="等线" w:hAnsi="等线" w:eastAsia="等线" w:cs="等线"/>
          <w:i w:val="0"/>
          <w:iCs w:val="0"/>
          <w:caps w:val="0"/>
          <w:color w:val="000000"/>
          <w:spacing w:val="0"/>
          <w:kern w:val="0"/>
          <w:sz w:val="21"/>
          <w:szCs w:val="21"/>
          <w:lang w:val="en-US" w:eastAsia="zh-CN" w:bidi="ar"/>
        </w:rPr>
        <w:t> </w:t>
      </w:r>
    </w:p>
    <w:p w14:paraId="040E14D2">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（三）一般性支出情况：</w:t>
      </w:r>
      <w:r>
        <w:rPr>
          <w:rFonts w:hint="eastAsia" w:ascii="宋体" w:hAnsi="宋体" w:eastAsia="宋体" w:cs="宋体"/>
          <w:i w:val="0"/>
          <w:iCs w:val="0"/>
          <w:caps w:val="0"/>
          <w:color w:val="000000"/>
          <w:spacing w:val="0"/>
          <w:kern w:val="0"/>
          <w:sz w:val="32"/>
          <w:szCs w:val="32"/>
          <w:lang w:val="en-US" w:eastAsia="zh-CN" w:bidi="ar"/>
        </w:rPr>
        <w:t>2025年本部门会议费预算0万元，我单位2025年度无会议费预算支出；培训费预算0万元，我单位2025年度无培训费预算支出；拟举办0场节庆、晚会、论坛、赛事活动，开支0万元，无相关活动计划。</w:t>
      </w:r>
      <w:r>
        <w:rPr>
          <w:rFonts w:hint="eastAsia" w:ascii="等线" w:hAnsi="等线" w:eastAsia="等线" w:cs="等线"/>
          <w:i w:val="0"/>
          <w:iCs w:val="0"/>
          <w:caps w:val="0"/>
          <w:color w:val="000000"/>
          <w:spacing w:val="0"/>
          <w:kern w:val="0"/>
          <w:sz w:val="21"/>
          <w:szCs w:val="21"/>
          <w:lang w:val="en-US" w:eastAsia="zh-CN" w:bidi="ar"/>
        </w:rPr>
        <w:t> </w:t>
      </w:r>
    </w:p>
    <w:p w14:paraId="11542D30">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（四）政府采购情况：</w:t>
      </w:r>
      <w:r>
        <w:rPr>
          <w:rFonts w:hint="eastAsia" w:ascii="宋体" w:hAnsi="宋体" w:eastAsia="宋体" w:cs="宋体"/>
          <w:i w:val="0"/>
          <w:iCs w:val="0"/>
          <w:caps w:val="0"/>
          <w:color w:val="000000"/>
          <w:spacing w:val="0"/>
          <w:kern w:val="0"/>
          <w:sz w:val="32"/>
          <w:szCs w:val="32"/>
          <w:lang w:val="en-US" w:eastAsia="zh-CN" w:bidi="ar"/>
        </w:rPr>
        <w:t>2025年本部门政府采购预算总额18万元，其中，货物类采购预算0万元；工程类采购预算0万元；服务类采购预算18万元。</w:t>
      </w:r>
      <w:r>
        <w:rPr>
          <w:rFonts w:hint="eastAsia" w:ascii="等线" w:hAnsi="等线" w:eastAsia="等线" w:cs="等线"/>
          <w:i w:val="0"/>
          <w:iCs w:val="0"/>
          <w:caps w:val="0"/>
          <w:color w:val="000000"/>
          <w:spacing w:val="0"/>
          <w:kern w:val="0"/>
          <w:sz w:val="21"/>
          <w:szCs w:val="21"/>
          <w:lang w:val="en-US" w:eastAsia="zh-CN" w:bidi="ar"/>
        </w:rPr>
        <w:t> </w:t>
      </w:r>
    </w:p>
    <w:p w14:paraId="3BB94745">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（五）国有资产占用使用及新增资产配置情况：</w:t>
      </w:r>
      <w:r>
        <w:rPr>
          <w:rFonts w:hint="eastAsia" w:ascii="宋体" w:hAnsi="宋体" w:eastAsia="宋体" w:cs="宋体"/>
          <w:i w:val="0"/>
          <w:iCs w:val="0"/>
          <w:caps w:val="0"/>
          <w:color w:val="000000"/>
          <w:spacing w:val="0"/>
          <w:kern w:val="0"/>
          <w:sz w:val="32"/>
          <w:szCs w:val="32"/>
          <w:lang w:val="en-US" w:eastAsia="zh-CN" w:bidi="ar"/>
        </w:rPr>
        <w:t>截至2024年12月底，本部门共有公务用车1辆，其中，机要通信用车辆，应急保障用车辆，执法执勤用车辆，专业技术用车辆，特种专业技术用车辆，业务用车1辆，其他按照规定配备的公务用车辆；单位价值50万元以上通用设备1台，单位价值100万元以上专用设备台。2025年拟新增配置公务用车0辆，其中，机要通信用车辆，应急保障用车辆，执法执勤用车辆，专业技术用车辆，特种专业技术用车辆，业务用车辆，其他按照规定配备的公务用车辆；新增配备单位价值50万元以上通用设备台，单位价值100万元以上专用设备台。</w:t>
      </w:r>
      <w:r>
        <w:rPr>
          <w:rFonts w:hint="eastAsia" w:ascii="等线" w:hAnsi="等线" w:eastAsia="等线" w:cs="等线"/>
          <w:i w:val="0"/>
          <w:iCs w:val="0"/>
          <w:caps w:val="0"/>
          <w:color w:val="000000"/>
          <w:spacing w:val="0"/>
          <w:kern w:val="0"/>
          <w:sz w:val="21"/>
          <w:szCs w:val="21"/>
          <w:lang w:val="en-US" w:eastAsia="zh-CN" w:bidi="ar"/>
        </w:rPr>
        <w:t> </w:t>
      </w:r>
    </w:p>
    <w:p w14:paraId="483F3A8D">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（六）预算绩效目标说明：</w:t>
      </w:r>
      <w:r>
        <w:rPr>
          <w:rFonts w:hint="eastAsia" w:ascii="宋体" w:hAnsi="宋体" w:eastAsia="宋体" w:cs="宋体"/>
          <w:i w:val="0"/>
          <w:iCs w:val="0"/>
          <w:caps w:val="0"/>
          <w:color w:val="000000"/>
          <w:spacing w:val="0"/>
          <w:kern w:val="0"/>
          <w:sz w:val="32"/>
          <w:szCs w:val="32"/>
          <w:lang w:val="en-US" w:eastAsia="zh-CN" w:bidi="ar"/>
        </w:rPr>
        <w:t>本部门所有支出实行绩效目标管理。纳入2025年部门整体支出绩效目标的金额为3,359.87万元，其中，基本支出1,010.19万元，项目支出2,349.68万元，具体绩效目标详见报表。</w:t>
      </w:r>
      <w:r>
        <w:rPr>
          <w:rFonts w:hint="eastAsia" w:ascii="等线" w:hAnsi="等线" w:eastAsia="等线" w:cs="等线"/>
          <w:i w:val="0"/>
          <w:iCs w:val="0"/>
          <w:caps w:val="0"/>
          <w:color w:val="000000"/>
          <w:spacing w:val="0"/>
          <w:kern w:val="0"/>
          <w:sz w:val="21"/>
          <w:szCs w:val="21"/>
          <w:lang w:val="en-US" w:eastAsia="zh-CN" w:bidi="ar"/>
        </w:rPr>
        <w:t> </w:t>
      </w:r>
    </w:p>
    <w:p w14:paraId="7940478F">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七、名词解释</w:t>
      </w:r>
      <w:r>
        <w:rPr>
          <w:rFonts w:hint="eastAsia" w:ascii="等线" w:hAnsi="等线" w:eastAsia="等线" w:cs="等线"/>
          <w:i w:val="0"/>
          <w:iCs w:val="0"/>
          <w:caps w:val="0"/>
          <w:color w:val="000000"/>
          <w:spacing w:val="0"/>
          <w:kern w:val="0"/>
          <w:sz w:val="21"/>
          <w:szCs w:val="21"/>
          <w:lang w:val="en-US" w:eastAsia="zh-CN" w:bidi="ar"/>
        </w:rPr>
        <w:t> </w:t>
      </w:r>
    </w:p>
    <w:p w14:paraId="2A2D07A3">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等线" w:hAnsi="等线" w:eastAsia="等线" w:cs="等线"/>
          <w:i w:val="0"/>
          <w:iCs w:val="0"/>
          <w:caps w:val="0"/>
          <w:color w:val="000000"/>
          <w:spacing w:val="0"/>
          <w:kern w:val="0"/>
          <w:sz w:val="21"/>
          <w:szCs w:val="21"/>
          <w:lang w:val="en-US" w:eastAsia="zh-CN" w:bidi="ar"/>
        </w:rPr>
        <w:t> </w:t>
      </w:r>
    </w:p>
    <w:p w14:paraId="1DF2E414">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务费等支出。</w:t>
      </w:r>
      <w:r>
        <w:rPr>
          <w:rFonts w:hint="eastAsia" w:ascii="等线" w:hAnsi="等线" w:eastAsia="等线" w:cs="等线"/>
          <w:i w:val="0"/>
          <w:iCs w:val="0"/>
          <w:caps w:val="0"/>
          <w:color w:val="000000"/>
          <w:spacing w:val="0"/>
          <w:kern w:val="0"/>
          <w:sz w:val="21"/>
          <w:szCs w:val="21"/>
          <w:lang w:val="en-US" w:eastAsia="zh-CN" w:bidi="ar"/>
        </w:rPr>
        <w:t> </w:t>
      </w:r>
    </w:p>
    <w:p w14:paraId="1541BD03">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等线" w:hAnsi="等线" w:eastAsia="等线" w:cs="等线"/>
          <w:i w:val="0"/>
          <w:iCs w:val="0"/>
          <w:caps w:val="0"/>
          <w:color w:val="000000"/>
          <w:spacing w:val="0"/>
          <w:kern w:val="0"/>
          <w:sz w:val="21"/>
          <w:szCs w:val="21"/>
          <w:lang w:val="en-US" w:eastAsia="zh-CN" w:bidi="ar"/>
        </w:rPr>
        <w:t> </w:t>
      </w:r>
    </w:p>
    <w:p w14:paraId="0E0EC8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44E83"/>
    <w:rsid w:val="5D50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2812</Words>
  <Characters>3044</Characters>
  <Lines>0</Lines>
  <Paragraphs>0</Paragraphs>
  <TotalTime>0</TotalTime>
  <ScaleCrop>false</ScaleCrop>
  <LinksUpToDate>false</LinksUpToDate>
  <CharactersWithSpaces>3129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2025-01-14T07:56:00Z</dcterms:created>
  <dc:creator>lenovo</dc:creator>
  <cp:lastModifiedBy>lenovo</cp:lastModifiedBy>
  <dcterms:modified xsi:type="dcterms:W3CDTF">2025-01-15T02:37:21Z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eyJoZGlkIjoiYzRhOWY2OGZkMmUxY2FlOTlhZmYyYzY4YWU2N2E5MzgifQ==</vt:lpwstr>
  </property>
  <property fmtid="{D5CDD505-2E9C-101B-9397-08002B2CF9AE}" pid="4" name="ICV">
    <vt:lpwstr>3938A4B58EFE4EBCA8A72E643BB9DE4C_12</vt:lpwstr>
  </property>
</Properties>
</file>